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1C05" w:rsidRPr="002E41FF" w:rsidRDefault="00491C05" w:rsidP="00CA0DE2">
      <w:pPr>
        <w:spacing w:after="0" w:line="480" w:lineRule="auto"/>
        <w:rPr>
          <w:rFonts w:ascii="Times New Roman" w:hAnsi="Times New Roman" w:cs="Times New Roman"/>
          <w:sz w:val="24"/>
          <w:szCs w:val="24"/>
        </w:rPr>
      </w:pPr>
    </w:p>
    <w:p w:rsidR="002E41FF" w:rsidRPr="002E41FF" w:rsidRDefault="002E41FF" w:rsidP="00CA0DE2">
      <w:pPr>
        <w:spacing w:after="0" w:line="480" w:lineRule="auto"/>
        <w:rPr>
          <w:rFonts w:ascii="Times New Roman" w:hAnsi="Times New Roman" w:cs="Times New Roman"/>
          <w:sz w:val="24"/>
          <w:szCs w:val="24"/>
        </w:rPr>
      </w:pPr>
    </w:p>
    <w:p w:rsidR="002E41FF" w:rsidRPr="002E41FF" w:rsidRDefault="002E41FF" w:rsidP="00CA0DE2">
      <w:pPr>
        <w:spacing w:after="0" w:line="480" w:lineRule="auto"/>
        <w:rPr>
          <w:rFonts w:ascii="Times New Roman" w:hAnsi="Times New Roman" w:cs="Times New Roman"/>
          <w:sz w:val="24"/>
          <w:szCs w:val="24"/>
        </w:rPr>
      </w:pPr>
    </w:p>
    <w:p w:rsidR="002E41FF" w:rsidRPr="002E41FF" w:rsidRDefault="002E41FF" w:rsidP="00CA0DE2">
      <w:pPr>
        <w:spacing w:after="0" w:line="480" w:lineRule="auto"/>
        <w:rPr>
          <w:rFonts w:ascii="Times New Roman" w:hAnsi="Times New Roman" w:cs="Times New Roman"/>
          <w:sz w:val="24"/>
          <w:szCs w:val="24"/>
        </w:rPr>
      </w:pPr>
    </w:p>
    <w:p w:rsidR="002E41FF" w:rsidRPr="002E41FF" w:rsidRDefault="002E41FF" w:rsidP="00CA0DE2">
      <w:pPr>
        <w:spacing w:after="0" w:line="480" w:lineRule="auto"/>
        <w:rPr>
          <w:rFonts w:ascii="Times New Roman" w:hAnsi="Times New Roman" w:cs="Times New Roman"/>
          <w:sz w:val="24"/>
          <w:szCs w:val="24"/>
        </w:rPr>
      </w:pPr>
    </w:p>
    <w:p w:rsidR="002E41FF" w:rsidRPr="002E41FF" w:rsidRDefault="002E41FF" w:rsidP="00CA0DE2">
      <w:pPr>
        <w:spacing w:after="0" w:line="480" w:lineRule="auto"/>
        <w:rPr>
          <w:rFonts w:ascii="Times New Roman" w:hAnsi="Times New Roman" w:cs="Times New Roman"/>
          <w:sz w:val="24"/>
          <w:szCs w:val="24"/>
        </w:rPr>
      </w:pPr>
    </w:p>
    <w:p w:rsidR="002E41FF" w:rsidRPr="002E41FF" w:rsidRDefault="002E41FF" w:rsidP="00CA0DE2">
      <w:pPr>
        <w:spacing w:after="0" w:line="480" w:lineRule="auto"/>
        <w:rPr>
          <w:rFonts w:ascii="Times New Roman" w:hAnsi="Times New Roman" w:cs="Times New Roman"/>
          <w:sz w:val="24"/>
          <w:szCs w:val="24"/>
        </w:rPr>
      </w:pPr>
    </w:p>
    <w:p w:rsidR="002E41FF" w:rsidRPr="002E41FF" w:rsidRDefault="002E41FF" w:rsidP="00CA0DE2">
      <w:pPr>
        <w:spacing w:after="0" w:line="480" w:lineRule="auto"/>
        <w:rPr>
          <w:rFonts w:ascii="Times New Roman" w:hAnsi="Times New Roman" w:cs="Times New Roman"/>
          <w:sz w:val="24"/>
          <w:szCs w:val="24"/>
        </w:rPr>
      </w:pPr>
    </w:p>
    <w:p w:rsidR="002E41FF" w:rsidRPr="002E41FF" w:rsidRDefault="002E41FF" w:rsidP="00CA0DE2">
      <w:pPr>
        <w:spacing w:after="0" w:line="480" w:lineRule="auto"/>
        <w:rPr>
          <w:rFonts w:ascii="Times New Roman" w:hAnsi="Times New Roman" w:cs="Times New Roman"/>
          <w:sz w:val="24"/>
          <w:szCs w:val="24"/>
        </w:rPr>
      </w:pPr>
    </w:p>
    <w:p w:rsidR="002E41FF" w:rsidRPr="002E41FF" w:rsidRDefault="002E41FF" w:rsidP="00CA0DE2">
      <w:pPr>
        <w:spacing w:after="0" w:line="480" w:lineRule="auto"/>
        <w:rPr>
          <w:rFonts w:ascii="Times New Roman" w:hAnsi="Times New Roman" w:cs="Times New Roman"/>
          <w:sz w:val="24"/>
          <w:szCs w:val="24"/>
        </w:rPr>
      </w:pPr>
    </w:p>
    <w:p w:rsidR="002E41FF" w:rsidRPr="002E41FF" w:rsidRDefault="002E41FF" w:rsidP="00CA0DE2">
      <w:pPr>
        <w:spacing w:after="0" w:line="480" w:lineRule="auto"/>
        <w:rPr>
          <w:rFonts w:ascii="Times New Roman" w:hAnsi="Times New Roman" w:cs="Times New Roman"/>
          <w:sz w:val="24"/>
          <w:szCs w:val="24"/>
        </w:rPr>
      </w:pPr>
    </w:p>
    <w:p w:rsidR="002E41FF" w:rsidRPr="002E41FF" w:rsidRDefault="002E41FF" w:rsidP="00CA0DE2">
      <w:pPr>
        <w:spacing w:after="0" w:line="480" w:lineRule="auto"/>
        <w:rPr>
          <w:rFonts w:ascii="Times New Roman" w:hAnsi="Times New Roman" w:cs="Times New Roman"/>
          <w:sz w:val="24"/>
          <w:szCs w:val="24"/>
        </w:rPr>
      </w:pPr>
    </w:p>
    <w:p w:rsidR="002E41FF" w:rsidRPr="002E41FF" w:rsidRDefault="002E41FF" w:rsidP="00CA0DE2">
      <w:pPr>
        <w:spacing w:after="0" w:line="480" w:lineRule="auto"/>
        <w:rPr>
          <w:rFonts w:ascii="Times New Roman" w:hAnsi="Times New Roman" w:cs="Times New Roman"/>
          <w:sz w:val="24"/>
          <w:szCs w:val="24"/>
        </w:rPr>
      </w:pPr>
    </w:p>
    <w:p w:rsidR="002E41FF" w:rsidRPr="002E41FF" w:rsidRDefault="002E41FF" w:rsidP="00CA0DE2">
      <w:pPr>
        <w:spacing w:after="0" w:line="480" w:lineRule="auto"/>
        <w:jc w:val="center"/>
        <w:rPr>
          <w:rFonts w:ascii="Times New Roman" w:hAnsi="Times New Roman" w:cs="Times New Roman"/>
          <w:sz w:val="24"/>
          <w:szCs w:val="24"/>
        </w:rPr>
      </w:pPr>
      <w:r w:rsidRPr="002E41FF">
        <w:rPr>
          <w:rFonts w:ascii="Times New Roman" w:hAnsi="Times New Roman" w:cs="Times New Roman"/>
          <w:sz w:val="24"/>
          <w:szCs w:val="24"/>
        </w:rPr>
        <w:t>Multicultural Education</w:t>
      </w:r>
    </w:p>
    <w:p w:rsidR="002E41FF" w:rsidRPr="002E41FF" w:rsidRDefault="002E41FF" w:rsidP="00CA0DE2">
      <w:pPr>
        <w:spacing w:after="0" w:line="480" w:lineRule="auto"/>
        <w:jc w:val="center"/>
        <w:rPr>
          <w:rFonts w:ascii="Times New Roman" w:hAnsi="Times New Roman" w:cs="Times New Roman"/>
          <w:sz w:val="24"/>
          <w:szCs w:val="24"/>
        </w:rPr>
      </w:pPr>
      <w:r w:rsidRPr="002E41FF">
        <w:rPr>
          <w:rFonts w:ascii="Times New Roman" w:hAnsi="Times New Roman" w:cs="Times New Roman"/>
          <w:sz w:val="24"/>
          <w:szCs w:val="24"/>
        </w:rPr>
        <w:t>Name:</w:t>
      </w:r>
    </w:p>
    <w:p w:rsidR="002E41FF" w:rsidRDefault="002E41FF" w:rsidP="00CA0DE2">
      <w:pPr>
        <w:spacing w:after="0" w:line="480" w:lineRule="auto"/>
        <w:jc w:val="center"/>
        <w:rPr>
          <w:rFonts w:ascii="Times New Roman" w:hAnsi="Times New Roman" w:cs="Times New Roman"/>
          <w:sz w:val="24"/>
          <w:szCs w:val="24"/>
        </w:rPr>
      </w:pPr>
      <w:r w:rsidRPr="002E41FF">
        <w:rPr>
          <w:rFonts w:ascii="Times New Roman" w:hAnsi="Times New Roman" w:cs="Times New Roman"/>
          <w:sz w:val="24"/>
          <w:szCs w:val="24"/>
        </w:rPr>
        <w:t xml:space="preserve">University: </w:t>
      </w:r>
    </w:p>
    <w:p w:rsidR="002E41FF" w:rsidRDefault="002E41FF" w:rsidP="00CA0DE2">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2E41FF" w:rsidRDefault="002E41FF" w:rsidP="00CA0DE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Multicultural Education</w:t>
      </w:r>
    </w:p>
    <w:p w:rsidR="002E41FF" w:rsidRDefault="002E41FF" w:rsidP="00CA0DE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Taylor, Kumi-Yeboah, and Ringlaben (2016) set out to examine the perception of pre-service teachers towards multicultural education and teaching linguistically and culturally diverse learners in a New Latino Diaspora (NLD) area of North-Western Georgia. </w:t>
      </w:r>
      <w:r w:rsidR="003D5C22">
        <w:rPr>
          <w:rFonts w:ascii="Times New Roman" w:hAnsi="Times New Roman" w:cs="Times New Roman"/>
          <w:sz w:val="24"/>
          <w:szCs w:val="24"/>
        </w:rPr>
        <w:t xml:space="preserve">The authors aimed to value diversity; they set out to use </w:t>
      </w:r>
      <w:r w:rsidR="00F92410">
        <w:rPr>
          <w:rFonts w:ascii="Times New Roman" w:hAnsi="Times New Roman" w:cs="Times New Roman"/>
          <w:sz w:val="24"/>
          <w:szCs w:val="24"/>
        </w:rPr>
        <w:t xml:space="preserve">the </w:t>
      </w:r>
      <w:r w:rsidR="003D5C22">
        <w:rPr>
          <w:rFonts w:ascii="Times New Roman" w:hAnsi="Times New Roman" w:cs="Times New Roman"/>
          <w:sz w:val="24"/>
          <w:szCs w:val="24"/>
        </w:rPr>
        <w:t xml:space="preserve">Diversity Orientations Survey Instrument for this purpose. In effect, the authors looked to open the subject of multicultural thinking and demonstrate its importance in the increasingly multicultural academic environment in America. </w:t>
      </w:r>
      <w:r w:rsidR="004C09A1">
        <w:rPr>
          <w:rFonts w:ascii="Times New Roman" w:hAnsi="Times New Roman" w:cs="Times New Roman"/>
          <w:sz w:val="24"/>
          <w:szCs w:val="24"/>
        </w:rPr>
        <w:t xml:space="preserve">Moreover, the authors looked to pre-service teachers, teachers, and researchers in education information necessary for the preparation of pre-service teachers who will need to prevail in the increasingly multicultural academic environment. </w:t>
      </w:r>
    </w:p>
    <w:p w:rsidR="002D6936" w:rsidRDefault="002D6936" w:rsidP="00CA0DE2">
      <w:pPr>
        <w:spacing w:after="0" w:line="480" w:lineRule="auto"/>
        <w:rPr>
          <w:rFonts w:ascii="Times New Roman" w:hAnsi="Times New Roman" w:cs="Times New Roman"/>
          <w:sz w:val="24"/>
          <w:szCs w:val="24"/>
        </w:rPr>
      </w:pPr>
      <w:r>
        <w:rPr>
          <w:rFonts w:ascii="Times New Roman" w:hAnsi="Times New Roman" w:cs="Times New Roman"/>
          <w:sz w:val="24"/>
          <w:szCs w:val="24"/>
        </w:rPr>
        <w:tab/>
        <w:t>The researchers base their study on the fact the diversity in school environments is increasing at a rapid rate. For instance, the Latino population in schools was almost matching the white population in some areas of Georgia that were considered NLD. Similarly, the proportion of African-American le</w:t>
      </w:r>
      <w:r w:rsidR="00F92410">
        <w:rPr>
          <w:rFonts w:ascii="Times New Roman" w:hAnsi="Times New Roman" w:cs="Times New Roman"/>
          <w:sz w:val="24"/>
          <w:szCs w:val="24"/>
        </w:rPr>
        <w:t>arners is growing. Despite this</w:t>
      </w:r>
      <w:r>
        <w:rPr>
          <w:rFonts w:ascii="Times New Roman" w:hAnsi="Times New Roman" w:cs="Times New Roman"/>
          <w:sz w:val="24"/>
          <w:szCs w:val="24"/>
        </w:rPr>
        <w:t xml:space="preserve"> diversification in the student population, the authors observe that the population of teachers does not mirror this diversity. The </w:t>
      </w:r>
      <w:r w:rsidR="00422441">
        <w:rPr>
          <w:rFonts w:ascii="Times New Roman" w:hAnsi="Times New Roman" w:cs="Times New Roman"/>
          <w:sz w:val="24"/>
          <w:szCs w:val="24"/>
        </w:rPr>
        <w:t xml:space="preserve">authors, therefore, assume that the lack of diversity among the teaching staff and the opinions of the white teachers about diverse learners impact learning outcomes greatly. </w:t>
      </w:r>
    </w:p>
    <w:p w:rsidR="00422441" w:rsidRDefault="00422441" w:rsidP="00CA0DE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creating the conceptual framework and background for their study, the authors define the central concepts with utmost clarity. </w:t>
      </w:r>
      <w:r w:rsidR="00D57FFB">
        <w:rPr>
          <w:rFonts w:ascii="Times New Roman" w:hAnsi="Times New Roman" w:cs="Times New Roman"/>
          <w:sz w:val="24"/>
          <w:szCs w:val="24"/>
        </w:rPr>
        <w:t>The clarity of the definitions make</w:t>
      </w:r>
      <w:r w:rsidR="00D24AFD">
        <w:rPr>
          <w:rFonts w:ascii="Times New Roman" w:hAnsi="Times New Roman" w:cs="Times New Roman"/>
          <w:sz w:val="24"/>
          <w:szCs w:val="24"/>
        </w:rPr>
        <w:t>s</w:t>
      </w:r>
      <w:r w:rsidR="00D57FFB">
        <w:rPr>
          <w:rFonts w:ascii="Times New Roman" w:hAnsi="Times New Roman" w:cs="Times New Roman"/>
          <w:sz w:val="24"/>
          <w:szCs w:val="24"/>
        </w:rPr>
        <w:t xml:space="preserve"> following the remainder of the study much easier. Even in the discussion section, the authors define key themes that emerge clearly. </w:t>
      </w:r>
    </w:p>
    <w:p w:rsidR="00BD3335" w:rsidRDefault="00BD3335" w:rsidP="00CA0DE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authors also present adequate data for their discussion and conclusions. The presentation of the data aids in enhancing its clarity and ease of following through the study. The </w:t>
      </w:r>
      <w:r>
        <w:rPr>
          <w:rFonts w:ascii="Times New Roman" w:hAnsi="Times New Roman" w:cs="Times New Roman"/>
          <w:sz w:val="24"/>
          <w:szCs w:val="24"/>
        </w:rPr>
        <w:lastRenderedPageBreak/>
        <w:t xml:space="preserve">data is also precise. In other words, the data in the report is devoid of outliers and redundancy. They also make reference to all items of the data they present in their discussion of study findings; further confirming the preciseness of the data. Additionally, the methodology that the authors adopt enhances the confidence of their data. The researcher used 80 full-time college students; an adequate number for the cross-sectional study they aimed to conduct. </w:t>
      </w:r>
      <w:r w:rsidR="00452EE2">
        <w:rPr>
          <w:rFonts w:ascii="Times New Roman" w:hAnsi="Times New Roman" w:cs="Times New Roman"/>
          <w:sz w:val="24"/>
          <w:szCs w:val="24"/>
        </w:rPr>
        <w:t>However, a major weakness of the report is that the researcher</w:t>
      </w:r>
      <w:r w:rsidR="00923674">
        <w:rPr>
          <w:rFonts w:ascii="Times New Roman" w:hAnsi="Times New Roman" w:cs="Times New Roman"/>
          <w:sz w:val="24"/>
          <w:szCs w:val="24"/>
        </w:rPr>
        <w:t>s</w:t>
      </w:r>
      <w:r w:rsidR="00452EE2">
        <w:rPr>
          <w:rFonts w:ascii="Times New Roman" w:hAnsi="Times New Roman" w:cs="Times New Roman"/>
          <w:sz w:val="24"/>
          <w:szCs w:val="24"/>
        </w:rPr>
        <w:t xml:space="preserve"> fail to mention their sampling technique</w:t>
      </w:r>
      <w:r w:rsidR="00876867">
        <w:rPr>
          <w:rFonts w:ascii="Times New Roman" w:hAnsi="Times New Roman" w:cs="Times New Roman"/>
          <w:sz w:val="24"/>
          <w:szCs w:val="24"/>
        </w:rPr>
        <w:t xml:space="preserve"> (Drost, 2011)</w:t>
      </w:r>
      <w:r w:rsidR="00452EE2">
        <w:rPr>
          <w:rFonts w:ascii="Times New Roman" w:hAnsi="Times New Roman" w:cs="Times New Roman"/>
          <w:sz w:val="24"/>
          <w:szCs w:val="24"/>
        </w:rPr>
        <w:t xml:space="preserve">. Use of non-random sampling techniques or failure to mention the sampling technique limits the confidence of the data. </w:t>
      </w:r>
      <w:r w:rsidR="005827EC">
        <w:rPr>
          <w:rFonts w:ascii="Times New Roman" w:hAnsi="Times New Roman" w:cs="Times New Roman"/>
          <w:sz w:val="24"/>
          <w:szCs w:val="24"/>
        </w:rPr>
        <w:t xml:space="preserve">The researchers, however, use a standard tool to collect data, hence, enhancing the validity and reliability of their data. They also utilize standard tools like SPSS and Microsoft Excel to analyze their data hence further enhancing validity. </w:t>
      </w:r>
    </w:p>
    <w:p w:rsidR="001E362A" w:rsidRDefault="001E362A" w:rsidP="00CA0DE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data that the researchers present and the conclusions they draw from it fit perfectly in the body of knowledge on the impact of diversity in academic institutions. The literature review that the authors conducted created a perfect context </w:t>
      </w:r>
      <w:r w:rsidR="00957339">
        <w:rPr>
          <w:rFonts w:ascii="Times New Roman" w:hAnsi="Times New Roman" w:cs="Times New Roman"/>
          <w:sz w:val="24"/>
          <w:szCs w:val="24"/>
        </w:rPr>
        <w:t xml:space="preserve">for </w:t>
      </w:r>
      <w:r>
        <w:rPr>
          <w:rFonts w:ascii="Times New Roman" w:hAnsi="Times New Roman" w:cs="Times New Roman"/>
          <w:sz w:val="24"/>
          <w:szCs w:val="24"/>
        </w:rPr>
        <w:t>their conclusions. In other words, the conclusions of the authors are supported by findings of studies before and after it</w:t>
      </w:r>
      <w:r w:rsidR="00CA0DE2">
        <w:rPr>
          <w:rFonts w:ascii="Times New Roman" w:hAnsi="Times New Roman" w:cs="Times New Roman"/>
          <w:sz w:val="24"/>
          <w:szCs w:val="24"/>
        </w:rPr>
        <w:t xml:space="preserve"> (Ernst-Klavit &amp; Klavit, 2007)</w:t>
      </w:r>
      <w:r>
        <w:rPr>
          <w:rFonts w:ascii="Times New Roman" w:hAnsi="Times New Roman" w:cs="Times New Roman"/>
          <w:sz w:val="24"/>
          <w:szCs w:val="24"/>
        </w:rPr>
        <w:t xml:space="preserve">. </w:t>
      </w:r>
      <w:r w:rsidR="002579E1">
        <w:rPr>
          <w:rFonts w:ascii="Times New Roman" w:hAnsi="Times New Roman" w:cs="Times New Roman"/>
          <w:sz w:val="24"/>
          <w:szCs w:val="24"/>
        </w:rPr>
        <w:t xml:space="preserve">Despite its close association with other studies in the subject area, the study effectively adds to the body of knowledge in the area. The findings of the study are novel and complement many previous studies. The findings also prove </w:t>
      </w:r>
      <w:r w:rsidR="001826BE">
        <w:rPr>
          <w:rFonts w:ascii="Times New Roman" w:hAnsi="Times New Roman" w:cs="Times New Roman"/>
          <w:sz w:val="24"/>
          <w:szCs w:val="24"/>
        </w:rPr>
        <w:t xml:space="preserve">the </w:t>
      </w:r>
      <w:bookmarkStart w:id="0" w:name="_GoBack"/>
      <w:bookmarkEnd w:id="0"/>
      <w:r w:rsidR="002579E1">
        <w:rPr>
          <w:rFonts w:ascii="Times New Roman" w:hAnsi="Times New Roman" w:cs="Times New Roman"/>
          <w:sz w:val="24"/>
          <w:szCs w:val="24"/>
        </w:rPr>
        <w:t xml:space="preserve">theories proposed in previous studies. </w:t>
      </w:r>
    </w:p>
    <w:p w:rsidR="002B5DC8" w:rsidRDefault="00F46EF7" w:rsidP="00CA0DE2">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Overall, Taylor et al. (2016) present a cohesive study that flows perfectly. The flow of ideas from the introduction to the conclusion both arouses the interests of the reader and keeps them to the subject matter. The clarity of their ideas and their use of language further contribute to the ease of understanding the content of the report. </w:t>
      </w:r>
    </w:p>
    <w:p w:rsidR="002B5DC8" w:rsidRDefault="002B5DC8" w:rsidP="00CA0DE2">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F46EF7" w:rsidRDefault="002B5DC8" w:rsidP="00CA0DE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CA0DE2" w:rsidRPr="00CA0DE2" w:rsidRDefault="00CA0DE2" w:rsidP="00CA0DE2">
      <w:pPr>
        <w:spacing w:after="0" w:line="480" w:lineRule="auto"/>
        <w:ind w:left="720" w:hanging="720"/>
        <w:rPr>
          <w:rFonts w:ascii="Times New Roman" w:eastAsia="Times New Roman" w:hAnsi="Times New Roman" w:cs="Times New Roman"/>
          <w:sz w:val="24"/>
          <w:szCs w:val="24"/>
        </w:rPr>
      </w:pPr>
      <w:r w:rsidRPr="00CA0DE2">
        <w:rPr>
          <w:rFonts w:ascii="Times New Roman" w:eastAsia="Times New Roman" w:hAnsi="Times New Roman" w:cs="Times New Roman"/>
          <w:sz w:val="24"/>
          <w:szCs w:val="24"/>
        </w:rPr>
        <w:t xml:space="preserve">Drost, E. A. (2011). Validity and reliability in social science research. </w:t>
      </w:r>
      <w:r w:rsidRPr="00CA0DE2">
        <w:rPr>
          <w:rFonts w:ascii="Times New Roman" w:eastAsia="Times New Roman" w:hAnsi="Times New Roman" w:cs="Times New Roman"/>
          <w:i/>
          <w:iCs/>
          <w:sz w:val="24"/>
          <w:szCs w:val="24"/>
        </w:rPr>
        <w:t>Education Research and perspectives</w:t>
      </w:r>
      <w:r w:rsidRPr="00CA0DE2">
        <w:rPr>
          <w:rFonts w:ascii="Times New Roman" w:eastAsia="Times New Roman" w:hAnsi="Times New Roman" w:cs="Times New Roman"/>
          <w:sz w:val="24"/>
          <w:szCs w:val="24"/>
        </w:rPr>
        <w:t xml:space="preserve">, </w:t>
      </w:r>
      <w:r w:rsidRPr="00CA0DE2">
        <w:rPr>
          <w:rFonts w:ascii="Times New Roman" w:eastAsia="Times New Roman" w:hAnsi="Times New Roman" w:cs="Times New Roman"/>
          <w:i/>
          <w:iCs/>
          <w:sz w:val="24"/>
          <w:szCs w:val="24"/>
        </w:rPr>
        <w:t>38</w:t>
      </w:r>
      <w:r w:rsidRPr="00CA0DE2">
        <w:rPr>
          <w:rFonts w:ascii="Times New Roman" w:eastAsia="Times New Roman" w:hAnsi="Times New Roman" w:cs="Times New Roman"/>
          <w:sz w:val="24"/>
          <w:szCs w:val="24"/>
        </w:rPr>
        <w:t>(1), 105.</w:t>
      </w:r>
    </w:p>
    <w:p w:rsidR="00CA0DE2" w:rsidRDefault="00CA0DE2" w:rsidP="00CA0DE2">
      <w:pPr>
        <w:spacing w:after="0" w:line="480" w:lineRule="auto"/>
        <w:ind w:left="720" w:hanging="720"/>
        <w:rPr>
          <w:rFonts w:ascii="Times New Roman" w:eastAsia="Times New Roman" w:hAnsi="Times New Roman" w:cs="Times New Roman"/>
          <w:sz w:val="24"/>
          <w:szCs w:val="24"/>
        </w:rPr>
      </w:pPr>
      <w:r w:rsidRPr="00CA0DE2">
        <w:rPr>
          <w:rFonts w:ascii="Times New Roman" w:eastAsia="Times New Roman" w:hAnsi="Times New Roman" w:cs="Times New Roman"/>
          <w:sz w:val="24"/>
          <w:szCs w:val="24"/>
        </w:rPr>
        <w:t xml:space="preserve">Ernst-Slavit, G., &amp; Slavit, D. (2007). Educational Reform, Mathematics, &amp; Diverse Learners: Meeting the Needs of All Students. </w:t>
      </w:r>
      <w:r w:rsidRPr="00CA0DE2">
        <w:rPr>
          <w:rFonts w:ascii="Times New Roman" w:eastAsia="Times New Roman" w:hAnsi="Times New Roman" w:cs="Times New Roman"/>
          <w:i/>
          <w:iCs/>
          <w:sz w:val="24"/>
          <w:szCs w:val="24"/>
        </w:rPr>
        <w:t>Multicultural Education</w:t>
      </w:r>
      <w:r w:rsidRPr="00CA0DE2">
        <w:rPr>
          <w:rFonts w:ascii="Times New Roman" w:eastAsia="Times New Roman" w:hAnsi="Times New Roman" w:cs="Times New Roman"/>
          <w:sz w:val="24"/>
          <w:szCs w:val="24"/>
        </w:rPr>
        <w:t xml:space="preserve">, </w:t>
      </w:r>
      <w:r w:rsidRPr="00CA0DE2">
        <w:rPr>
          <w:rFonts w:ascii="Times New Roman" w:eastAsia="Times New Roman" w:hAnsi="Times New Roman" w:cs="Times New Roman"/>
          <w:i/>
          <w:iCs/>
          <w:sz w:val="24"/>
          <w:szCs w:val="24"/>
        </w:rPr>
        <w:t>14</w:t>
      </w:r>
      <w:r w:rsidRPr="00CA0DE2">
        <w:rPr>
          <w:rFonts w:ascii="Times New Roman" w:eastAsia="Times New Roman" w:hAnsi="Times New Roman" w:cs="Times New Roman"/>
          <w:sz w:val="24"/>
          <w:szCs w:val="24"/>
        </w:rPr>
        <w:t>(4), 20-27.</w:t>
      </w:r>
    </w:p>
    <w:p w:rsidR="00CA0DE2" w:rsidRPr="00CA0DE2" w:rsidRDefault="00CA0DE2" w:rsidP="00CA0DE2">
      <w:pPr>
        <w:spacing w:after="0" w:line="480" w:lineRule="auto"/>
        <w:ind w:left="720" w:hanging="720"/>
        <w:rPr>
          <w:rFonts w:ascii="Times New Roman" w:eastAsia="Times New Roman" w:hAnsi="Times New Roman" w:cs="Times New Roman"/>
          <w:sz w:val="24"/>
          <w:szCs w:val="24"/>
        </w:rPr>
      </w:pPr>
      <w:r w:rsidRPr="00CA0DE2">
        <w:rPr>
          <w:rFonts w:ascii="Times New Roman" w:eastAsia="Times New Roman" w:hAnsi="Times New Roman" w:cs="Times New Roman"/>
          <w:sz w:val="24"/>
          <w:szCs w:val="24"/>
        </w:rPr>
        <w:t xml:space="preserve">Taylor, R., Kumi-Yeboah, A., &amp; Ringlaben, R. P. (2016). Pre-Service Teachers' Perceptions towards Multicultural Education &amp; Teaching of Culturally &amp; Linguistically Diverse Learners. </w:t>
      </w:r>
      <w:r w:rsidRPr="00CA0DE2">
        <w:rPr>
          <w:rFonts w:ascii="Times New Roman" w:eastAsia="Times New Roman" w:hAnsi="Times New Roman" w:cs="Times New Roman"/>
          <w:i/>
          <w:iCs/>
          <w:sz w:val="24"/>
          <w:szCs w:val="24"/>
        </w:rPr>
        <w:t>Multicultural Education</w:t>
      </w:r>
      <w:r w:rsidRPr="00CA0DE2">
        <w:rPr>
          <w:rFonts w:ascii="Times New Roman" w:eastAsia="Times New Roman" w:hAnsi="Times New Roman" w:cs="Times New Roman"/>
          <w:sz w:val="24"/>
          <w:szCs w:val="24"/>
        </w:rPr>
        <w:t xml:space="preserve">, </w:t>
      </w:r>
      <w:r w:rsidRPr="00CA0DE2">
        <w:rPr>
          <w:rFonts w:ascii="Times New Roman" w:eastAsia="Times New Roman" w:hAnsi="Times New Roman" w:cs="Times New Roman"/>
          <w:i/>
          <w:iCs/>
          <w:sz w:val="24"/>
          <w:szCs w:val="24"/>
        </w:rPr>
        <w:t>23</w:t>
      </w:r>
      <w:r w:rsidRPr="00CA0DE2">
        <w:rPr>
          <w:rFonts w:ascii="Times New Roman" w:eastAsia="Times New Roman" w:hAnsi="Times New Roman" w:cs="Times New Roman"/>
          <w:sz w:val="24"/>
          <w:szCs w:val="24"/>
        </w:rPr>
        <w:t>, 42-48.</w:t>
      </w:r>
    </w:p>
    <w:p w:rsidR="00CA0DE2" w:rsidRPr="00CA0DE2" w:rsidRDefault="00CA0DE2" w:rsidP="00CA0DE2">
      <w:pPr>
        <w:spacing w:after="0" w:line="480" w:lineRule="auto"/>
        <w:ind w:left="720" w:hanging="720"/>
        <w:rPr>
          <w:rFonts w:ascii="Times New Roman" w:eastAsia="Times New Roman" w:hAnsi="Times New Roman" w:cs="Times New Roman"/>
          <w:sz w:val="24"/>
          <w:szCs w:val="24"/>
        </w:rPr>
      </w:pPr>
    </w:p>
    <w:p w:rsidR="002B5DC8" w:rsidRPr="002E41FF" w:rsidRDefault="002B5DC8" w:rsidP="00CA0DE2">
      <w:pPr>
        <w:spacing w:after="0" w:line="480" w:lineRule="auto"/>
        <w:rPr>
          <w:rFonts w:ascii="Times New Roman" w:hAnsi="Times New Roman" w:cs="Times New Roman"/>
          <w:sz w:val="24"/>
          <w:szCs w:val="24"/>
        </w:rPr>
      </w:pPr>
    </w:p>
    <w:sectPr w:rsidR="002B5DC8" w:rsidRPr="002E41FF" w:rsidSect="002B5DC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350E" w:rsidRDefault="0099350E" w:rsidP="002B5DC8">
      <w:pPr>
        <w:spacing w:after="0" w:line="240" w:lineRule="auto"/>
      </w:pPr>
      <w:r>
        <w:separator/>
      </w:r>
    </w:p>
  </w:endnote>
  <w:endnote w:type="continuationSeparator" w:id="0">
    <w:p w:rsidR="0099350E" w:rsidRDefault="0099350E" w:rsidP="002B5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350E" w:rsidRDefault="0099350E" w:rsidP="002B5DC8">
      <w:pPr>
        <w:spacing w:after="0" w:line="240" w:lineRule="auto"/>
      </w:pPr>
      <w:r>
        <w:separator/>
      </w:r>
    </w:p>
  </w:footnote>
  <w:footnote w:type="continuationSeparator" w:id="0">
    <w:p w:rsidR="0099350E" w:rsidRDefault="0099350E" w:rsidP="002B5D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5DC8" w:rsidRPr="002B5DC8" w:rsidRDefault="002B5DC8" w:rsidP="002B5DC8">
    <w:pPr>
      <w:pStyle w:val="Header"/>
      <w:spacing w:line="480" w:lineRule="auto"/>
      <w:jc w:val="right"/>
      <w:rPr>
        <w:rFonts w:ascii="Times New Roman" w:hAnsi="Times New Roman" w:cs="Times New Roman"/>
        <w:sz w:val="24"/>
        <w:szCs w:val="24"/>
      </w:rPr>
    </w:pPr>
    <w:r w:rsidRPr="002B5DC8">
      <w:rPr>
        <w:rFonts w:ascii="Times New Roman" w:hAnsi="Times New Roman" w:cs="Times New Roman"/>
        <w:sz w:val="24"/>
        <w:szCs w:val="24"/>
      </w:rPr>
      <w:t>MULTICULTURAL EDUCATION</w:t>
    </w:r>
    <w:r>
      <w:rPr>
        <w:rFonts w:ascii="Times New Roman" w:hAnsi="Times New Roman" w:cs="Times New Roman"/>
        <w:sz w:val="24"/>
        <w:szCs w:val="24"/>
      </w:rPr>
      <w:tab/>
    </w:r>
    <w:r>
      <w:rPr>
        <w:rFonts w:ascii="Times New Roman" w:hAnsi="Times New Roman" w:cs="Times New Roman"/>
        <w:sz w:val="24"/>
        <w:szCs w:val="24"/>
      </w:rPr>
      <w:tab/>
    </w:r>
    <w:r w:rsidRPr="002B5DC8">
      <w:rPr>
        <w:rFonts w:ascii="Times New Roman" w:hAnsi="Times New Roman" w:cs="Times New Roman"/>
        <w:sz w:val="24"/>
        <w:szCs w:val="24"/>
      </w:rPr>
      <w:t xml:space="preserve"> </w:t>
    </w:r>
    <w:sdt>
      <w:sdtPr>
        <w:rPr>
          <w:rFonts w:ascii="Times New Roman" w:hAnsi="Times New Roman" w:cs="Times New Roman"/>
          <w:sz w:val="24"/>
          <w:szCs w:val="24"/>
        </w:rPr>
        <w:id w:val="-536434765"/>
        <w:docPartObj>
          <w:docPartGallery w:val="Page Numbers (Top of Page)"/>
          <w:docPartUnique/>
        </w:docPartObj>
      </w:sdtPr>
      <w:sdtEndPr>
        <w:rPr>
          <w:noProof/>
        </w:rPr>
      </w:sdtEndPr>
      <w:sdtContent>
        <w:r w:rsidRPr="002B5DC8">
          <w:rPr>
            <w:rFonts w:ascii="Times New Roman" w:hAnsi="Times New Roman" w:cs="Times New Roman"/>
            <w:sz w:val="24"/>
            <w:szCs w:val="24"/>
          </w:rPr>
          <w:fldChar w:fldCharType="begin"/>
        </w:r>
        <w:r w:rsidRPr="002B5DC8">
          <w:rPr>
            <w:rFonts w:ascii="Times New Roman" w:hAnsi="Times New Roman" w:cs="Times New Roman"/>
            <w:sz w:val="24"/>
            <w:szCs w:val="24"/>
          </w:rPr>
          <w:instrText xml:space="preserve"> PAGE   \* MERGEFORMAT </w:instrText>
        </w:r>
        <w:r w:rsidRPr="002B5DC8">
          <w:rPr>
            <w:rFonts w:ascii="Times New Roman" w:hAnsi="Times New Roman" w:cs="Times New Roman"/>
            <w:sz w:val="24"/>
            <w:szCs w:val="24"/>
          </w:rPr>
          <w:fldChar w:fldCharType="separate"/>
        </w:r>
        <w:r w:rsidR="001826BE">
          <w:rPr>
            <w:rFonts w:ascii="Times New Roman" w:hAnsi="Times New Roman" w:cs="Times New Roman"/>
            <w:noProof/>
            <w:sz w:val="24"/>
            <w:szCs w:val="24"/>
          </w:rPr>
          <w:t>4</w:t>
        </w:r>
        <w:r w:rsidRPr="002B5DC8">
          <w:rPr>
            <w:rFonts w:ascii="Times New Roman" w:hAnsi="Times New Roman" w:cs="Times New Roman"/>
            <w:noProof/>
            <w:sz w:val="24"/>
            <w:szCs w:val="24"/>
          </w:rPr>
          <w:fldChar w:fldCharType="end"/>
        </w:r>
      </w:sdtContent>
    </w:sdt>
  </w:p>
  <w:p w:rsidR="002B5DC8" w:rsidRDefault="002B5D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0611" w:rsidRPr="007D0611" w:rsidRDefault="007D0611" w:rsidP="007D0611">
    <w:pPr>
      <w:pStyle w:val="Header"/>
      <w:spacing w:line="480" w:lineRule="auto"/>
      <w:jc w:val="right"/>
      <w:rPr>
        <w:rFonts w:ascii="Times New Roman" w:hAnsi="Times New Roman" w:cs="Times New Roman"/>
        <w:sz w:val="24"/>
        <w:szCs w:val="24"/>
      </w:rPr>
    </w:pPr>
    <w:r w:rsidRPr="007D0611">
      <w:rPr>
        <w:rFonts w:ascii="Times New Roman" w:hAnsi="Times New Roman" w:cs="Times New Roman"/>
        <w:sz w:val="24"/>
        <w:szCs w:val="24"/>
      </w:rPr>
      <w:t xml:space="preserve">Running head: </w:t>
    </w:r>
    <w:r w:rsidRPr="007D0611">
      <w:rPr>
        <w:rFonts w:ascii="Times New Roman" w:hAnsi="Times New Roman" w:cs="Times New Roman"/>
        <w:sz w:val="24"/>
        <w:szCs w:val="24"/>
      </w:rPr>
      <w:t>MULTICULTURAL EDUCATION</w:t>
    </w:r>
    <w:r>
      <w:rPr>
        <w:rFonts w:ascii="Times New Roman" w:hAnsi="Times New Roman" w:cs="Times New Roman"/>
        <w:sz w:val="24"/>
        <w:szCs w:val="24"/>
      </w:rPr>
      <w:tab/>
    </w:r>
    <w:r w:rsidRPr="007D0611">
      <w:rPr>
        <w:rFonts w:ascii="Times New Roman" w:hAnsi="Times New Roman" w:cs="Times New Roman"/>
        <w:sz w:val="24"/>
        <w:szCs w:val="24"/>
      </w:rPr>
      <w:t xml:space="preserve"> </w:t>
    </w:r>
    <w:sdt>
      <w:sdtPr>
        <w:rPr>
          <w:rFonts w:ascii="Times New Roman" w:hAnsi="Times New Roman" w:cs="Times New Roman"/>
          <w:sz w:val="24"/>
          <w:szCs w:val="24"/>
        </w:rPr>
        <w:id w:val="-474064239"/>
        <w:docPartObj>
          <w:docPartGallery w:val="Page Numbers (Top of Page)"/>
          <w:docPartUnique/>
        </w:docPartObj>
      </w:sdtPr>
      <w:sdtEndPr>
        <w:rPr>
          <w:noProof/>
        </w:rPr>
      </w:sdtEndPr>
      <w:sdtContent>
        <w:r w:rsidRPr="007D0611">
          <w:rPr>
            <w:rFonts w:ascii="Times New Roman" w:hAnsi="Times New Roman" w:cs="Times New Roman"/>
            <w:sz w:val="24"/>
            <w:szCs w:val="24"/>
          </w:rPr>
          <w:fldChar w:fldCharType="begin"/>
        </w:r>
        <w:r w:rsidRPr="007D0611">
          <w:rPr>
            <w:rFonts w:ascii="Times New Roman" w:hAnsi="Times New Roman" w:cs="Times New Roman"/>
            <w:sz w:val="24"/>
            <w:szCs w:val="24"/>
          </w:rPr>
          <w:instrText xml:space="preserve"> PAGE   \* MERGEFORMAT </w:instrText>
        </w:r>
        <w:r w:rsidRPr="007D0611">
          <w:rPr>
            <w:rFonts w:ascii="Times New Roman" w:hAnsi="Times New Roman" w:cs="Times New Roman"/>
            <w:sz w:val="24"/>
            <w:szCs w:val="24"/>
          </w:rPr>
          <w:fldChar w:fldCharType="separate"/>
        </w:r>
        <w:r w:rsidR="00CA0DE2">
          <w:rPr>
            <w:rFonts w:ascii="Times New Roman" w:hAnsi="Times New Roman" w:cs="Times New Roman"/>
            <w:noProof/>
            <w:sz w:val="24"/>
            <w:szCs w:val="24"/>
          </w:rPr>
          <w:t>1</w:t>
        </w:r>
        <w:r w:rsidRPr="007D0611">
          <w:rPr>
            <w:rFonts w:ascii="Times New Roman" w:hAnsi="Times New Roman" w:cs="Times New Roman"/>
            <w:noProof/>
            <w:sz w:val="24"/>
            <w:szCs w:val="24"/>
          </w:rPr>
          <w:fldChar w:fldCharType="end"/>
        </w:r>
      </w:sdtContent>
    </w:sdt>
  </w:p>
  <w:p w:rsidR="002B5DC8" w:rsidRDefault="002B5D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1FF"/>
    <w:rsid w:val="001826BE"/>
    <w:rsid w:val="001E362A"/>
    <w:rsid w:val="002579E1"/>
    <w:rsid w:val="002B5DC8"/>
    <w:rsid w:val="002D6936"/>
    <w:rsid w:val="002E41FF"/>
    <w:rsid w:val="003D5C22"/>
    <w:rsid w:val="00422441"/>
    <w:rsid w:val="00452EE2"/>
    <w:rsid w:val="00491C05"/>
    <w:rsid w:val="004C09A1"/>
    <w:rsid w:val="005827EC"/>
    <w:rsid w:val="007D0611"/>
    <w:rsid w:val="00876867"/>
    <w:rsid w:val="00923674"/>
    <w:rsid w:val="00957339"/>
    <w:rsid w:val="0099350E"/>
    <w:rsid w:val="00BD3335"/>
    <w:rsid w:val="00CA0DE2"/>
    <w:rsid w:val="00D24AFD"/>
    <w:rsid w:val="00D57FFB"/>
    <w:rsid w:val="00F46EF7"/>
    <w:rsid w:val="00F924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B83E11-1C53-4EC9-9C58-FB6241935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D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5DC8"/>
  </w:style>
  <w:style w:type="paragraph" w:styleId="Footer">
    <w:name w:val="footer"/>
    <w:basedOn w:val="Normal"/>
    <w:link w:val="FooterChar"/>
    <w:uiPriority w:val="99"/>
    <w:unhideWhenUsed/>
    <w:rsid w:val="002B5D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5D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709599">
      <w:bodyDiv w:val="1"/>
      <w:marLeft w:val="0"/>
      <w:marRight w:val="0"/>
      <w:marTop w:val="0"/>
      <w:marBottom w:val="0"/>
      <w:divBdr>
        <w:top w:val="none" w:sz="0" w:space="0" w:color="auto"/>
        <w:left w:val="none" w:sz="0" w:space="0" w:color="auto"/>
        <w:bottom w:val="none" w:sz="0" w:space="0" w:color="auto"/>
        <w:right w:val="none" w:sz="0" w:space="0" w:color="auto"/>
      </w:divBdr>
      <w:divsChild>
        <w:div w:id="1563641998">
          <w:marLeft w:val="0"/>
          <w:marRight w:val="0"/>
          <w:marTop w:val="0"/>
          <w:marBottom w:val="0"/>
          <w:divBdr>
            <w:top w:val="none" w:sz="0" w:space="0" w:color="auto"/>
            <w:left w:val="none" w:sz="0" w:space="0" w:color="auto"/>
            <w:bottom w:val="none" w:sz="0" w:space="0" w:color="auto"/>
            <w:right w:val="none" w:sz="0" w:space="0" w:color="auto"/>
          </w:divBdr>
        </w:div>
      </w:divsChild>
    </w:div>
    <w:div w:id="1022626687">
      <w:bodyDiv w:val="1"/>
      <w:marLeft w:val="0"/>
      <w:marRight w:val="0"/>
      <w:marTop w:val="0"/>
      <w:marBottom w:val="0"/>
      <w:divBdr>
        <w:top w:val="none" w:sz="0" w:space="0" w:color="auto"/>
        <w:left w:val="none" w:sz="0" w:space="0" w:color="auto"/>
        <w:bottom w:val="none" w:sz="0" w:space="0" w:color="auto"/>
        <w:right w:val="none" w:sz="0" w:space="0" w:color="auto"/>
      </w:divBdr>
      <w:divsChild>
        <w:div w:id="236942856">
          <w:marLeft w:val="0"/>
          <w:marRight w:val="0"/>
          <w:marTop w:val="0"/>
          <w:marBottom w:val="0"/>
          <w:divBdr>
            <w:top w:val="none" w:sz="0" w:space="0" w:color="auto"/>
            <w:left w:val="none" w:sz="0" w:space="0" w:color="auto"/>
            <w:bottom w:val="none" w:sz="0" w:space="0" w:color="auto"/>
            <w:right w:val="none" w:sz="0" w:space="0" w:color="auto"/>
          </w:divBdr>
        </w:div>
      </w:divsChild>
    </w:div>
    <w:div w:id="1875389673">
      <w:bodyDiv w:val="1"/>
      <w:marLeft w:val="0"/>
      <w:marRight w:val="0"/>
      <w:marTop w:val="0"/>
      <w:marBottom w:val="0"/>
      <w:divBdr>
        <w:top w:val="none" w:sz="0" w:space="0" w:color="auto"/>
        <w:left w:val="none" w:sz="0" w:space="0" w:color="auto"/>
        <w:bottom w:val="none" w:sz="0" w:space="0" w:color="auto"/>
        <w:right w:val="none" w:sz="0" w:space="0" w:color="auto"/>
      </w:divBdr>
      <w:divsChild>
        <w:div w:id="4032659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4</Pages>
  <Words>670</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2019-03-19T01:55:00Z</dcterms:created>
  <dcterms:modified xsi:type="dcterms:W3CDTF">2019-03-19T03:19:00Z</dcterms:modified>
</cp:coreProperties>
</file>